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2427D" w14:textId="1422D878"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8F6929">
        <w:t>8</w:t>
      </w:r>
      <w:r w:rsidR="00E318B1">
        <w:t>6</w:t>
      </w:r>
      <w:r w:rsidR="004356A4">
        <w:t xml:space="preserve"> BIS</w:t>
      </w:r>
      <w:r w:rsidRPr="00446F9D">
        <w:tab/>
        <w:t>R1-</w:t>
      </w:r>
      <w:bookmarkStart w:id="0" w:name="_GoBack"/>
      <w:r w:rsidR="00A93783" w:rsidRPr="00A93783">
        <w:rPr>
          <w:bCs/>
        </w:rPr>
        <w:t>1610214</w:t>
      </w:r>
      <w:bookmarkEnd w:id="0"/>
    </w:p>
    <w:p w14:paraId="6842427E" w14:textId="190ED392" w:rsidR="00FE5799" w:rsidRPr="000833FA" w:rsidRDefault="004356A4" w:rsidP="00FE5799">
      <w:pPr>
        <w:pStyle w:val="Header"/>
        <w:rPr>
          <w:color w:val="000000"/>
        </w:rPr>
      </w:pPr>
      <w:r>
        <w:t>Lisbon</w:t>
      </w:r>
      <w:r w:rsidR="008F6929">
        <w:t xml:space="preserve">, </w:t>
      </w:r>
      <w:r w:rsidR="000D570D">
        <w:t>Portugal</w:t>
      </w:r>
      <w:r w:rsidR="00FE5799" w:rsidRPr="000833FA">
        <w:t>,</w:t>
      </w:r>
      <w:r w:rsidR="008F6929">
        <w:t xml:space="preserve"> </w:t>
      </w:r>
      <w:r>
        <w:t>October 10 – 14</w:t>
      </w:r>
      <w:r w:rsidR="00FE5799">
        <w:t>, 2016</w:t>
      </w:r>
    </w:p>
    <w:p w14:paraId="6842427F" w14:textId="77777777" w:rsidR="00FE5799" w:rsidRPr="000833FA" w:rsidRDefault="00FE5799" w:rsidP="00FE5799">
      <w:pPr>
        <w:pStyle w:val="Header"/>
      </w:pPr>
    </w:p>
    <w:p w14:paraId="6842428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8424281" w14:textId="0399B95E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190F96" w:rsidRPr="00190F96">
        <w:t>On Synchronization Requirements for Grant-free MA</w:t>
      </w:r>
      <w:r w:rsidR="001C434E">
        <w:t xml:space="preserve"> </w:t>
      </w:r>
    </w:p>
    <w:p w14:paraId="68424282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</w:p>
    <w:p w14:paraId="68424283" w14:textId="022EDA7B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="005702BF">
        <w:t>Discussion</w:t>
      </w:r>
      <w:r w:rsidR="00995034">
        <w:t xml:space="preserve"> and Decision</w:t>
      </w:r>
    </w:p>
    <w:p w14:paraId="6842428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8424285" w14:textId="17BE7132" w:rsidR="00FE5799" w:rsidRDefault="005A453E" w:rsidP="00FE5799">
      <w:pPr>
        <w:pStyle w:val="Heading1"/>
      </w:pPr>
      <w:r>
        <w:t xml:space="preserve">Introduction </w:t>
      </w:r>
    </w:p>
    <w:p w14:paraId="285E3256" w14:textId="5F9769CD" w:rsidR="0071194A" w:rsidRDefault="003B745B" w:rsidP="00DC69CA">
      <w:pPr>
        <w:jc w:val="both"/>
        <w:rPr>
          <w:rFonts w:eastAsia="MS Mincho"/>
        </w:rPr>
      </w:pPr>
      <w:r>
        <w:rPr>
          <w:rFonts w:eastAsia="MS Mincho"/>
        </w:rPr>
        <w:t xml:space="preserve">In RAN 85# it was agreed that grant-free transmission should be supported in order to reduce the latency and to render the transmission of small data packets more efficient, in terms of relative signaling overhead. </w:t>
      </w:r>
      <w:r w:rsidR="00D95CC2">
        <w:rPr>
          <w:rFonts w:eastAsia="MS Mincho"/>
        </w:rPr>
        <w:t xml:space="preserve">As argued in our </w:t>
      </w:r>
      <w:r w:rsidR="008344FC">
        <w:rPr>
          <w:rFonts w:eastAsia="MS Mincho"/>
        </w:rPr>
        <w:t>companion</w:t>
      </w:r>
      <w:r w:rsidR="00D95CC2">
        <w:rPr>
          <w:rFonts w:eastAsia="MS Mincho"/>
        </w:rPr>
        <w:t xml:space="preserve"> contribution </w:t>
      </w:r>
      <w:r w:rsidR="00D95CC2">
        <w:rPr>
          <w:rFonts w:eastAsia="MS Mincho"/>
        </w:rPr>
        <w:fldChar w:fldCharType="begin"/>
      </w:r>
      <w:r w:rsidR="00D95CC2">
        <w:rPr>
          <w:rFonts w:eastAsia="MS Mincho"/>
        </w:rPr>
        <w:instrText xml:space="preserve"> REF _Ref461961121 \n \h </w:instrText>
      </w:r>
      <w:r w:rsidR="00D95CC2">
        <w:rPr>
          <w:rFonts w:eastAsia="MS Mincho"/>
        </w:rPr>
      </w:r>
      <w:r w:rsidR="00D95CC2">
        <w:rPr>
          <w:rFonts w:eastAsia="MS Mincho"/>
        </w:rPr>
        <w:fldChar w:fldCharType="separate"/>
      </w:r>
      <w:r w:rsidR="00D95CC2">
        <w:rPr>
          <w:rFonts w:eastAsia="MS Mincho"/>
        </w:rPr>
        <w:t>[1]</w:t>
      </w:r>
      <w:r w:rsidR="00D95CC2">
        <w:rPr>
          <w:rFonts w:eastAsia="MS Mincho"/>
        </w:rPr>
        <w:fldChar w:fldCharType="end"/>
      </w:r>
      <w:r w:rsidR="00D95CC2">
        <w:rPr>
          <w:rFonts w:eastAsia="MS Mincho"/>
        </w:rPr>
        <w:t xml:space="preserve">, </w:t>
      </w:r>
      <w:r w:rsidR="008344FC">
        <w:rPr>
          <w:rFonts w:eastAsia="MS Mincho"/>
        </w:rPr>
        <w:t xml:space="preserve">the benefits of introducing </w:t>
      </w:r>
      <w:r w:rsidR="00D95CC2">
        <w:rPr>
          <w:rFonts w:eastAsia="MS Mincho"/>
        </w:rPr>
        <w:t xml:space="preserve">grant-free transmission </w:t>
      </w:r>
      <w:r w:rsidR="009D171E">
        <w:rPr>
          <w:rFonts w:eastAsia="MS Mincho"/>
        </w:rPr>
        <w:t xml:space="preserve">can be </w:t>
      </w:r>
      <w:r w:rsidR="00B70C0B">
        <w:rPr>
          <w:rFonts w:eastAsia="MS Mincho"/>
        </w:rPr>
        <w:t>enhanced</w:t>
      </w:r>
      <w:r w:rsidR="008344FC">
        <w:rPr>
          <w:rFonts w:eastAsia="MS Mincho"/>
        </w:rPr>
        <w:t xml:space="preserve"> if the system </w:t>
      </w:r>
      <w:r w:rsidR="009D171E">
        <w:rPr>
          <w:rFonts w:eastAsia="MS Mincho"/>
        </w:rPr>
        <w:t>is designed to</w:t>
      </w:r>
      <w:r w:rsidR="008344FC">
        <w:rPr>
          <w:rFonts w:eastAsia="MS Mincho"/>
        </w:rPr>
        <w:t xml:space="preserve"> </w:t>
      </w:r>
      <w:r w:rsidR="00190F96">
        <w:rPr>
          <w:rFonts w:eastAsia="MS Mincho"/>
        </w:rPr>
        <w:t xml:space="preserve">allow for shared grant-free </w:t>
      </w:r>
      <w:r w:rsidR="002F30B7">
        <w:rPr>
          <w:rFonts w:eastAsia="MS Mincho"/>
        </w:rPr>
        <w:t>resources</w:t>
      </w:r>
      <w:r w:rsidR="000D057B">
        <w:rPr>
          <w:rFonts w:eastAsia="MS Mincho"/>
        </w:rPr>
        <w:t>.</w:t>
      </w:r>
      <w:r w:rsidR="00190F96">
        <w:rPr>
          <w:rFonts w:eastAsia="MS Mincho"/>
        </w:rPr>
        <w:t xml:space="preserve"> </w:t>
      </w:r>
      <w:r w:rsidR="000D057B">
        <w:rPr>
          <w:rFonts w:eastAsia="MS Mincho"/>
        </w:rPr>
        <w:t xml:space="preserve">Additional benefits in terms of capacity and latency is expected to be </w:t>
      </w:r>
      <w:proofErr w:type="spellStart"/>
      <w:r w:rsidR="000D057B">
        <w:rPr>
          <w:rFonts w:eastAsia="MS Mincho"/>
        </w:rPr>
        <w:t>availale</w:t>
      </w:r>
      <w:proofErr w:type="spellEnd"/>
      <w:r w:rsidR="000D057B">
        <w:rPr>
          <w:rFonts w:eastAsia="MS Mincho"/>
        </w:rPr>
        <w:t xml:space="preserve"> with interference aware schemes such </w:t>
      </w:r>
      <w:proofErr w:type="gramStart"/>
      <w:r w:rsidR="000D057B">
        <w:rPr>
          <w:rFonts w:eastAsia="MS Mincho"/>
        </w:rPr>
        <w:t xml:space="preserve">as </w:t>
      </w:r>
      <w:r w:rsidR="008344FC">
        <w:rPr>
          <w:rFonts w:eastAsia="MS Mincho"/>
        </w:rPr>
        <w:t xml:space="preserve"> non</w:t>
      </w:r>
      <w:proofErr w:type="gramEnd"/>
      <w:r w:rsidR="008344FC">
        <w:rPr>
          <w:rFonts w:eastAsia="MS Mincho"/>
        </w:rPr>
        <w:t xml:space="preserve">-orthogonal multiple access (NOMA) </w:t>
      </w:r>
      <w:r w:rsidR="008344FC">
        <w:rPr>
          <w:rFonts w:eastAsia="MS Mincho"/>
        </w:rPr>
        <w:fldChar w:fldCharType="begin"/>
      </w:r>
      <w:r w:rsidR="008344FC">
        <w:rPr>
          <w:rFonts w:eastAsia="MS Mincho"/>
        </w:rPr>
        <w:instrText xml:space="preserve"> REF _Ref461962637 \n \h </w:instrText>
      </w:r>
      <w:r w:rsidR="008344FC">
        <w:rPr>
          <w:rFonts w:eastAsia="MS Mincho"/>
        </w:rPr>
      </w:r>
      <w:r w:rsidR="008344FC">
        <w:rPr>
          <w:rFonts w:eastAsia="MS Mincho"/>
        </w:rPr>
        <w:fldChar w:fldCharType="separate"/>
      </w:r>
      <w:r w:rsidR="008344FC">
        <w:rPr>
          <w:rFonts w:eastAsia="MS Mincho"/>
        </w:rPr>
        <w:t>[2]</w:t>
      </w:r>
      <w:r w:rsidR="008344FC">
        <w:rPr>
          <w:rFonts w:eastAsia="MS Mincho"/>
        </w:rPr>
        <w:fldChar w:fldCharType="end"/>
      </w:r>
      <w:r w:rsidR="008344FC">
        <w:rPr>
          <w:rFonts w:eastAsia="MS Mincho"/>
        </w:rPr>
        <w:t xml:space="preserve">. </w:t>
      </w:r>
      <w:r>
        <w:rPr>
          <w:rFonts w:eastAsia="MS Mincho"/>
        </w:rPr>
        <w:t xml:space="preserve">In this </w:t>
      </w:r>
      <w:r w:rsidR="00C15355">
        <w:rPr>
          <w:rFonts w:eastAsia="MS Mincho"/>
        </w:rPr>
        <w:t>paper</w:t>
      </w:r>
      <w:r>
        <w:rPr>
          <w:rFonts w:eastAsia="MS Mincho"/>
        </w:rPr>
        <w:t xml:space="preserve">, we </w:t>
      </w:r>
      <w:r w:rsidR="0006481F">
        <w:rPr>
          <w:rFonts w:eastAsia="MS Mincho"/>
        </w:rPr>
        <w:t>discuss</w:t>
      </w:r>
      <w:r>
        <w:rPr>
          <w:rFonts w:eastAsia="MS Mincho"/>
        </w:rPr>
        <w:t xml:space="preserve"> </w:t>
      </w:r>
      <w:r w:rsidR="00190F96">
        <w:rPr>
          <w:rFonts w:eastAsia="MS Mincho"/>
        </w:rPr>
        <w:t>synchronization requirements</w:t>
      </w:r>
      <w:r w:rsidR="0006481F">
        <w:rPr>
          <w:rFonts w:eastAsia="MS Mincho"/>
        </w:rPr>
        <w:t xml:space="preserve"> related to this framework.</w:t>
      </w:r>
    </w:p>
    <w:p w14:paraId="5BA8B6E1" w14:textId="39C55A35" w:rsidR="001D60A0" w:rsidRDefault="00D23A0E" w:rsidP="005A453E">
      <w:pPr>
        <w:pStyle w:val="Heading1"/>
      </w:pPr>
      <w:r>
        <w:t>Synchronization for Grant-free</w:t>
      </w:r>
    </w:p>
    <w:p w14:paraId="1DA99B12" w14:textId="3480F635" w:rsidR="00601DE6" w:rsidRDefault="00FB67A5" w:rsidP="001D60A0">
      <w:pPr>
        <w:pStyle w:val="BodyText"/>
      </w:pPr>
      <w:r>
        <w:t xml:space="preserve">Grant-free contention-based access has been identified as a candidate framework for </w:t>
      </w:r>
      <w:r w:rsidR="00601DE6">
        <w:t xml:space="preserve">addressing </w:t>
      </w:r>
      <w:r>
        <w:t xml:space="preserve">latency-critical services, that may arise in the context of uRLLC. </w:t>
      </w:r>
      <w:r w:rsidR="00601DE6">
        <w:t>Obviating</w:t>
      </w:r>
      <w:r>
        <w:t xml:space="preserve"> the handshake procedure, </w:t>
      </w:r>
      <w:r w:rsidR="00F21F95">
        <w:t>which</w:t>
      </w:r>
      <w:r>
        <w:t xml:space="preserve"> is embedded in the LTE contention-based random access protocol, in order for a UE to be granted an exclusive data-transmission slot</w:t>
      </w:r>
      <w:r w:rsidR="00601DE6">
        <w:t xml:space="preserve"> can help to: a) improve the resource utilization in terms of signaling overhead, relative to the </w:t>
      </w:r>
      <w:r w:rsidR="009D171E">
        <w:t xml:space="preserve">size of the </w:t>
      </w:r>
      <w:r w:rsidR="00601DE6">
        <w:t>data packet;</w:t>
      </w:r>
      <w:r w:rsidR="00195040">
        <w:t xml:space="preserve"> and b) to enhance the latency</w:t>
      </w:r>
      <w:r w:rsidR="00FF75F6">
        <w:t xml:space="preserve"> for delay-critical use-cases</w:t>
      </w:r>
      <w:r w:rsidR="00C15355">
        <w:t>, namely uRLLC</w:t>
      </w:r>
      <w:r w:rsidR="00195040">
        <w:t>.</w:t>
      </w:r>
    </w:p>
    <w:p w14:paraId="1B705182" w14:textId="77777777" w:rsidR="00392E4E" w:rsidRDefault="00D23A0E" w:rsidP="00392E4E">
      <w:pPr>
        <w:pStyle w:val="Heading2"/>
      </w:pPr>
      <w:r>
        <w:t>UL Synchronization</w:t>
      </w:r>
      <w:r w:rsidR="00392E4E">
        <w:t xml:space="preserve"> </w:t>
      </w:r>
    </w:p>
    <w:p w14:paraId="3B5B6E3D" w14:textId="41C79D51" w:rsidR="0038183D" w:rsidRDefault="00B70C0B" w:rsidP="008344FC">
      <w:pPr>
        <w:pStyle w:val="BodyText"/>
      </w:pPr>
      <w:r>
        <w:t>D</w:t>
      </w:r>
      <w:r w:rsidR="00601DE6">
        <w:t xml:space="preserve">ata transmission in </w:t>
      </w:r>
      <w:r w:rsidR="00EB6C9C">
        <w:t xml:space="preserve">grant-free resources can </w:t>
      </w:r>
      <w:r w:rsidR="00195040">
        <w:t>take place</w:t>
      </w:r>
      <w:r w:rsidR="0006481F">
        <w:t xml:space="preserve"> </w:t>
      </w:r>
      <w:r w:rsidR="00195040">
        <w:t xml:space="preserve">in a dedicated or </w:t>
      </w:r>
      <w:r w:rsidR="00B169DA">
        <w:t xml:space="preserve">a </w:t>
      </w:r>
      <w:r w:rsidR="00195040">
        <w:t xml:space="preserve">shared fashion; the </w:t>
      </w:r>
      <w:proofErr w:type="spellStart"/>
      <w:r w:rsidR="00195040">
        <w:t>eNodeB</w:t>
      </w:r>
      <w:proofErr w:type="spellEnd"/>
      <w:r w:rsidR="00195040">
        <w:t xml:space="preserve"> can map a single or multiple UEs to a set of grant-free resources</w:t>
      </w:r>
      <w:r w:rsidR="00B169DA">
        <w:t xml:space="preserve"> </w:t>
      </w:r>
      <w:r w:rsidR="00B169DA">
        <w:fldChar w:fldCharType="begin"/>
      </w:r>
      <w:r w:rsidR="00B169DA">
        <w:instrText xml:space="preserve"> REF _Ref461806934 \n \h </w:instrText>
      </w:r>
      <w:r w:rsidR="00B169DA">
        <w:fldChar w:fldCharType="separate"/>
      </w:r>
      <w:r w:rsidR="00B169DA">
        <w:t>[1]</w:t>
      </w:r>
      <w:r w:rsidR="00B169DA">
        <w:fldChar w:fldCharType="end"/>
      </w:r>
      <w:r w:rsidR="00195040">
        <w:t>. The latter mapping ma</w:t>
      </w:r>
      <w:r w:rsidR="002A4F8C">
        <w:t xml:space="preserve">y arise when the number of UEs </w:t>
      </w:r>
      <w:r w:rsidR="00195040">
        <w:t xml:space="preserve">exceeds the number of available grant-free </w:t>
      </w:r>
      <w:r w:rsidR="002F30B7">
        <w:t>resources</w:t>
      </w:r>
      <w:r w:rsidR="00195040">
        <w:t xml:space="preserve">. In this case, of shared grant-free </w:t>
      </w:r>
      <w:r w:rsidR="002F30B7">
        <w:t>resources</w:t>
      </w:r>
      <w:r w:rsidR="00195040">
        <w:t xml:space="preserve">, </w:t>
      </w:r>
      <w:r w:rsidR="00601DE6">
        <w:t>collision</w:t>
      </w:r>
      <w:r w:rsidR="009D171E">
        <w:t xml:space="preserve">s </w:t>
      </w:r>
      <w:r w:rsidR="00195040">
        <w:t xml:space="preserve">may occur </w:t>
      </w:r>
      <w:r w:rsidR="009D171E">
        <w:t>between UE packets</w:t>
      </w:r>
      <w:r w:rsidR="00601DE6">
        <w:t>, an event whose probability is proportional to the network traffic</w:t>
      </w:r>
      <w:r w:rsidR="00B169DA">
        <w:t>;</w:t>
      </w:r>
      <w:r w:rsidR="00270EBA">
        <w:t xml:space="preserve"> the </w:t>
      </w:r>
      <w:r w:rsidR="00B169DA">
        <w:t>more UEs share</w:t>
      </w:r>
      <w:r w:rsidR="00270EBA">
        <w:t xml:space="preserve"> the resources the higher the collision probability</w:t>
      </w:r>
      <w:r w:rsidR="00601DE6">
        <w:t>.</w:t>
      </w:r>
      <w:r w:rsidR="00270EBA">
        <w:t xml:space="preserve"> To tackle such cases and benefit from grant-free access, </w:t>
      </w:r>
      <w:r w:rsidR="00601DE6">
        <w:t xml:space="preserve">the </w:t>
      </w:r>
      <w:proofErr w:type="spellStart"/>
      <w:r w:rsidR="00270EBA">
        <w:t>eNodeB</w:t>
      </w:r>
      <w:proofErr w:type="spellEnd"/>
      <w:r w:rsidR="00270EBA">
        <w:t xml:space="preserve"> </w:t>
      </w:r>
      <w:r w:rsidR="00601DE6">
        <w:t>receiver can jointly detect</w:t>
      </w:r>
      <w:r>
        <w:t xml:space="preserve"> and process</w:t>
      </w:r>
      <w:r w:rsidR="00601DE6">
        <w:t xml:space="preserve"> the received signals</w:t>
      </w:r>
      <w:r w:rsidR="0038183D">
        <w:t xml:space="preserve"> using multiuser detection</w:t>
      </w:r>
      <w:r w:rsidR="00601DE6">
        <w:t>. Such treatment gives rise to the NOMA paradigm</w:t>
      </w:r>
      <w:r w:rsidR="00270EBA">
        <w:t>;</w:t>
      </w:r>
      <w:r w:rsidR="00601DE6">
        <w:t xml:space="preserve"> </w:t>
      </w:r>
      <w:proofErr w:type="gramStart"/>
      <w:r w:rsidR="00601DE6">
        <w:t>therefore</w:t>
      </w:r>
      <w:proofErr w:type="gramEnd"/>
      <w:r w:rsidR="00601DE6">
        <w:t xml:space="preserve"> one has to assess the suitability of existing NOMA strategies with respect to the technical </w:t>
      </w:r>
      <w:r w:rsidR="0038183D">
        <w:t xml:space="preserve">details </w:t>
      </w:r>
      <w:r w:rsidR="00601DE6">
        <w:t xml:space="preserve">that </w:t>
      </w:r>
      <w:r w:rsidR="0077438E">
        <w:t xml:space="preserve">apply </w:t>
      </w:r>
      <w:r w:rsidR="00601DE6">
        <w:t>to grant-free access</w:t>
      </w:r>
      <w:r w:rsidR="0038183D">
        <w:t xml:space="preserve">. In particular, </w:t>
      </w:r>
      <w:r w:rsidR="000352BA">
        <w:t xml:space="preserve">since the occupancy of a grant-free </w:t>
      </w:r>
      <w:r w:rsidR="002F30B7">
        <w:t>resource</w:t>
      </w:r>
      <w:r w:rsidR="000352BA">
        <w:t xml:space="preserve"> (after its assignment to a UE) is not </w:t>
      </w:r>
      <w:proofErr w:type="spellStart"/>
      <w:r w:rsidR="000352BA">
        <w:t>preceeded</w:t>
      </w:r>
      <w:proofErr w:type="spellEnd"/>
      <w:r w:rsidR="000352BA">
        <w:t xml:space="preserve"> by a handshake, the UE </w:t>
      </w:r>
      <w:r w:rsidR="002F30B7">
        <w:t>transmits without</w:t>
      </w:r>
      <w:r w:rsidR="000352BA">
        <w:t xml:space="preserve"> Timing Advance. </w:t>
      </w:r>
      <w:r w:rsidR="00A31379">
        <w:t xml:space="preserve">However, DL synchronization of the UE can be maintained at low </w:t>
      </w:r>
      <w:r w:rsidR="00C80D8A">
        <w:t xml:space="preserve">overhead </w:t>
      </w:r>
      <w:r w:rsidR="00A31379">
        <w:t>cost</w:t>
      </w:r>
      <w:r w:rsidR="00C80D8A">
        <w:t xml:space="preserve">, whereas acquiring TA would dissipate the latency gains stemming from grant free access. </w:t>
      </w:r>
      <w:r w:rsidR="000352BA">
        <w:t xml:space="preserve">Therefore, </w:t>
      </w:r>
      <w:r>
        <w:t xml:space="preserve">tight </w:t>
      </w:r>
      <w:r w:rsidR="000352BA">
        <w:t xml:space="preserve">UL </w:t>
      </w:r>
      <w:r>
        <w:t xml:space="preserve">time alignment </w:t>
      </w:r>
      <w:r w:rsidR="00C80D8A">
        <w:t xml:space="preserve">is not </w:t>
      </w:r>
      <w:r>
        <w:t>assumed</w:t>
      </w:r>
      <w:r w:rsidR="000352BA">
        <w:t xml:space="preserve"> and shared multiple access </w:t>
      </w:r>
      <w:r w:rsidR="000352BA" w:rsidRPr="000352BA">
        <w:t xml:space="preserve">within a grant-free </w:t>
      </w:r>
      <w:r w:rsidR="002F30B7">
        <w:t xml:space="preserve">resource </w:t>
      </w:r>
      <w:r w:rsidR="00D23A0E">
        <w:t>should be possible to realize</w:t>
      </w:r>
      <w:r w:rsidR="000352BA">
        <w:t xml:space="preserve"> </w:t>
      </w:r>
      <w:r w:rsidR="00D23A0E">
        <w:t xml:space="preserve">with DL </w:t>
      </w:r>
      <w:r w:rsidR="00D23A0E" w:rsidRPr="00D23A0E">
        <w:t>synchronization</w:t>
      </w:r>
      <w:r w:rsidR="00A31379">
        <w:t xml:space="preserve"> only</w:t>
      </w:r>
      <w:r w:rsidR="00D23A0E">
        <w:t>.</w:t>
      </w:r>
      <w:r w:rsidR="00C15355">
        <w:t xml:space="preserve"> </w:t>
      </w:r>
    </w:p>
    <w:p w14:paraId="615625D6" w14:textId="67A0465E" w:rsidR="0038183D" w:rsidRDefault="00D23A0E" w:rsidP="008344FC">
      <w:pPr>
        <w:pStyle w:val="BodyText"/>
        <w:rPr>
          <w:b/>
        </w:rPr>
      </w:pPr>
      <w:r w:rsidRPr="00E1690E">
        <w:rPr>
          <w:b/>
        </w:rPr>
        <w:t>Proposal 1: Grant-free UL MA should be possible with DL synchronization only (Timing Advance should not be needed) to accommodate low latency transmission (uRLLC).</w:t>
      </w:r>
    </w:p>
    <w:p w14:paraId="0AB862A3" w14:textId="32E1EEB9" w:rsidR="00392E4E" w:rsidRPr="00392E4E" w:rsidRDefault="00392E4E" w:rsidP="008344FC">
      <w:pPr>
        <w:pStyle w:val="Heading2"/>
      </w:pPr>
      <w:r>
        <w:t>Non-Orthogonal Multiple Access</w:t>
      </w:r>
    </w:p>
    <w:p w14:paraId="75D4AA75" w14:textId="77777777" w:rsidR="00C15355" w:rsidRDefault="000352BA" w:rsidP="00190F96">
      <w:pPr>
        <w:pStyle w:val="BodyText"/>
      </w:pPr>
      <w:r>
        <w:t>From the above discussion, it follows that</w:t>
      </w:r>
      <w:r w:rsidR="0077438E">
        <w:t xml:space="preserve"> </w:t>
      </w:r>
      <w:r w:rsidR="009D171E">
        <w:t xml:space="preserve">performance assessment and comparison of proposed </w:t>
      </w:r>
      <w:r w:rsidR="0077438E">
        <w:t>N</w:t>
      </w:r>
      <w:r>
        <w:t>OMA schemes should, among other things</w:t>
      </w:r>
      <w:r w:rsidR="0077438E">
        <w:t xml:space="preserve">, be </w:t>
      </w:r>
      <w:r w:rsidR="009D171E">
        <w:t>carried out</w:t>
      </w:r>
      <w:r w:rsidR="0077438E">
        <w:t xml:space="preserve"> with respect to their sensitivity to synchronization</w:t>
      </w:r>
      <w:r w:rsidR="00392E4E">
        <w:t xml:space="preserve"> </w:t>
      </w:r>
      <w:r w:rsidR="00392E4E">
        <w:fldChar w:fldCharType="begin"/>
      </w:r>
      <w:r w:rsidR="00392E4E">
        <w:instrText xml:space="preserve"> REF _Ref461806921 \n \h </w:instrText>
      </w:r>
      <w:r w:rsidR="00392E4E">
        <w:fldChar w:fldCharType="separate"/>
      </w:r>
      <w:r w:rsidR="00392E4E">
        <w:t>[2]</w:t>
      </w:r>
      <w:r w:rsidR="00392E4E">
        <w:fldChar w:fldCharType="end"/>
      </w:r>
      <w:r w:rsidR="0077438E">
        <w:t xml:space="preserve">. </w:t>
      </w:r>
      <w:r w:rsidR="00C15355">
        <w:t xml:space="preserve">NOMA schemes are fundamentally based on spreading the information symbols onto the available resource elements using appropriately designed spreading sequences. </w:t>
      </w:r>
      <w:r w:rsidR="00190F96">
        <w:t>There is a rich body of literature on NOMA methods</w:t>
      </w:r>
      <w:r w:rsidR="007246BD">
        <w:t xml:space="preserve"> (</w:t>
      </w:r>
      <w:r>
        <w:t xml:space="preserve">see </w:t>
      </w:r>
      <w:r>
        <w:fldChar w:fldCharType="begin"/>
      </w:r>
      <w:r>
        <w:instrText xml:space="preserve"> REF _Ref461962637 \n \h </w:instrText>
      </w:r>
      <w:r>
        <w:fldChar w:fldCharType="separate"/>
      </w:r>
      <w:r w:rsidR="00392E4E">
        <w:t>[3]</w:t>
      </w:r>
      <w:r>
        <w:fldChar w:fldCharType="end"/>
      </w:r>
      <w:r>
        <w:t xml:space="preserve"> for a </w:t>
      </w:r>
      <w:r w:rsidR="007246BD">
        <w:t>brief</w:t>
      </w:r>
      <w:r>
        <w:t xml:space="preserve"> overview</w:t>
      </w:r>
      <w:r w:rsidR="007246BD">
        <w:t>)</w:t>
      </w:r>
      <w:r>
        <w:t xml:space="preserve">, </w:t>
      </w:r>
      <w:r w:rsidR="00190F96">
        <w:t>which generally speaking assume a certain structure on the joint UE transmissions</w:t>
      </w:r>
      <w:r w:rsidR="00C15355">
        <w:t>, depending on the way the signatures are generated</w:t>
      </w:r>
      <w:r w:rsidR="006D0081">
        <w:t xml:space="preserve">. </w:t>
      </w:r>
    </w:p>
    <w:p w14:paraId="4F1CA90B" w14:textId="7CDDF2FC" w:rsidR="00190F96" w:rsidRDefault="00C80D8A" w:rsidP="00190F96">
      <w:pPr>
        <w:pStyle w:val="BodyText"/>
      </w:pPr>
      <w:r>
        <w:t>Most existing work</w:t>
      </w:r>
      <w:r w:rsidR="002F30B7">
        <w:t xml:space="preserve"> </w:t>
      </w:r>
      <w:r>
        <w:t xml:space="preserve">on performance analysis of NOMA schemes assumes fully synchronized RX. </w:t>
      </w:r>
      <w:r w:rsidR="007526F0">
        <w:t xml:space="preserve">If the </w:t>
      </w:r>
      <w:r w:rsidR="007246BD">
        <w:t xml:space="preserve">overlapping </w:t>
      </w:r>
      <w:r w:rsidR="007526F0">
        <w:t>UE sequences are aligned</w:t>
      </w:r>
      <w:r w:rsidR="005B6F24">
        <w:t>, on an element-by-element basis,</w:t>
      </w:r>
      <w:r w:rsidR="007526F0">
        <w:t xml:space="preserve"> at the receiver </w:t>
      </w:r>
      <w:r w:rsidR="005B6F24">
        <w:t>then</w:t>
      </w:r>
      <w:r w:rsidR="002A4F8C">
        <w:t>,</w:t>
      </w:r>
      <w:r w:rsidR="005B6F24">
        <w:t xml:space="preserve"> </w:t>
      </w:r>
      <w:r w:rsidR="007526F0">
        <w:t xml:space="preserve">with proper multi-user processing, the performance gains can be significant compared to orthogonal access. </w:t>
      </w:r>
      <w:r w:rsidR="007246BD">
        <w:t xml:space="preserve">However, the fact that signature vectors need to be aligned </w:t>
      </w:r>
      <w:r>
        <w:t xml:space="preserve">implies </w:t>
      </w:r>
      <w:r w:rsidR="007246BD">
        <w:t xml:space="preserve">that </w:t>
      </w:r>
      <w:r w:rsidR="007526F0">
        <w:t>NOMA schemes have tight synchronization requirements</w:t>
      </w:r>
      <w:r>
        <w:t xml:space="preserve">; </w:t>
      </w:r>
      <w:r w:rsidR="007526F0">
        <w:t xml:space="preserve">they require synchronous reception of the different UE signals, in order to deliver the promised </w:t>
      </w:r>
      <w:r w:rsidR="00C15355">
        <w:t>performance</w:t>
      </w:r>
      <w:r>
        <w:t>, otherwise significant degradation will occur</w:t>
      </w:r>
      <w:r w:rsidR="00392E4E">
        <w:t>. F</w:t>
      </w:r>
      <w:r w:rsidR="00190F96">
        <w:t xml:space="preserve">or </w:t>
      </w:r>
      <w:r>
        <w:t xml:space="preserve">CP-OFDM transmission this means that </w:t>
      </w:r>
      <w:r w:rsidR="00392E4E">
        <w:t xml:space="preserve">overlapping </w:t>
      </w:r>
      <w:r w:rsidR="00190F96">
        <w:t>signals should be received within a CP</w:t>
      </w:r>
      <w:r>
        <w:t>-OFDM</w:t>
      </w:r>
      <w:r w:rsidR="00190F96">
        <w:t xml:space="preserve"> period </w:t>
      </w:r>
      <w:r w:rsidR="00190F96">
        <w:fldChar w:fldCharType="begin"/>
      </w:r>
      <w:r w:rsidR="00190F96">
        <w:instrText xml:space="preserve"> REF _Ref462308895 \n \h </w:instrText>
      </w:r>
      <w:r w:rsidR="00190F96">
        <w:fldChar w:fldCharType="separate"/>
      </w:r>
      <w:r w:rsidR="00190F96">
        <w:t>[4]</w:t>
      </w:r>
      <w:r w:rsidR="00190F96">
        <w:fldChar w:fldCharType="end"/>
      </w:r>
      <w:r>
        <w:t>, in order to be synchronous</w:t>
      </w:r>
      <w:r w:rsidR="00190F96">
        <w:t>. For</w:t>
      </w:r>
      <w:r w:rsidR="00190F96" w:rsidRPr="000E316D">
        <w:t xml:space="preserve"> </w:t>
      </w:r>
      <w:r w:rsidR="00190F96">
        <w:t xml:space="preserve">multicarrier transmission, this </w:t>
      </w:r>
      <w:r w:rsidR="00392E4E">
        <w:t xml:space="preserve">critically </w:t>
      </w:r>
      <w:r w:rsidR="00190F96">
        <w:t xml:space="preserve">depends on the size of the cell and the numerology, </w:t>
      </w:r>
      <w:r w:rsidR="00392E4E">
        <w:t xml:space="preserve">and </w:t>
      </w:r>
      <w:r w:rsidR="00190F96">
        <w:t xml:space="preserve">the extended CP </w:t>
      </w:r>
      <w:r w:rsidR="00392E4E">
        <w:t>is needed in order to</w:t>
      </w:r>
      <w:r w:rsidR="00C15355">
        <w:t xml:space="preserve"> make the reception of the signals robust to time misalignment</w:t>
      </w:r>
      <w:r w:rsidR="00190F96">
        <w:t xml:space="preserve">. </w:t>
      </w:r>
    </w:p>
    <w:p w14:paraId="4D8724A4" w14:textId="294BAA5D" w:rsidR="002A4F8C" w:rsidRPr="00670579" w:rsidRDefault="00392E4E" w:rsidP="00392E4E">
      <w:pPr>
        <w:pStyle w:val="BodyText"/>
        <w:rPr>
          <w:b/>
        </w:rPr>
      </w:pPr>
      <w:r w:rsidRPr="00E1690E">
        <w:rPr>
          <w:b/>
        </w:rPr>
        <w:lastRenderedPageBreak/>
        <w:t>Proposal 2: Extended CP is needed for (</w:t>
      </w:r>
      <w:r w:rsidR="00C80D8A" w:rsidRPr="00C80D8A">
        <w:rPr>
          <w:b/>
        </w:rPr>
        <w:t>CP-OFDM</w:t>
      </w:r>
      <w:r w:rsidRPr="00E1690E">
        <w:rPr>
          <w:b/>
        </w:rPr>
        <w:t>) grant-free UL transmission, to accommodate l</w:t>
      </w:r>
      <w:r>
        <w:rPr>
          <w:b/>
        </w:rPr>
        <w:t>ow latency transmission (uRLLC).</w:t>
      </w:r>
    </w:p>
    <w:p w14:paraId="684242AB" w14:textId="6B46AE5D" w:rsidR="00246FA2" w:rsidRDefault="00463F1C" w:rsidP="003B6CED">
      <w:pPr>
        <w:pStyle w:val="Heading1"/>
      </w:pPr>
      <w:r>
        <w:t>Proposals</w:t>
      </w:r>
    </w:p>
    <w:p w14:paraId="7D8CCEF1" w14:textId="77777777" w:rsidR="00627043" w:rsidRPr="00E1690E" w:rsidRDefault="00E1690E" w:rsidP="00E1690E">
      <w:pPr>
        <w:pStyle w:val="BodyText"/>
        <w:rPr>
          <w:b/>
        </w:rPr>
      </w:pPr>
      <w:r w:rsidRPr="00E1690E">
        <w:rPr>
          <w:b/>
        </w:rPr>
        <w:t>Proposal 1: Grant-free UL MA should be possible with DL synchronization only (Timing Advance should not be needed) to accommodate low latency transmission (uRLLC).</w:t>
      </w:r>
    </w:p>
    <w:p w14:paraId="02C5C124" w14:textId="2D1F2E83" w:rsidR="00043EF1" w:rsidRPr="00670579" w:rsidRDefault="00E1690E" w:rsidP="00106A42">
      <w:pPr>
        <w:pStyle w:val="BodyText"/>
        <w:rPr>
          <w:b/>
        </w:rPr>
      </w:pPr>
      <w:r w:rsidRPr="00E1690E">
        <w:rPr>
          <w:b/>
        </w:rPr>
        <w:t>Proposal 2: Extended CP is needed for (</w:t>
      </w:r>
      <w:r w:rsidR="00C80D8A" w:rsidRPr="00C80D8A">
        <w:rPr>
          <w:b/>
        </w:rPr>
        <w:t>CP-OFDM</w:t>
      </w:r>
      <w:r w:rsidRPr="00E1690E">
        <w:rPr>
          <w:b/>
        </w:rPr>
        <w:t>) grant-free UL transmission, to accommodate l</w:t>
      </w:r>
      <w:r w:rsidR="00392E4E">
        <w:rPr>
          <w:b/>
        </w:rPr>
        <w:t>ow latency transmission (uRLLC).</w:t>
      </w:r>
    </w:p>
    <w:p w14:paraId="684242B0" w14:textId="77777777" w:rsidR="003B6CED" w:rsidRDefault="003B6CED" w:rsidP="003B6CED">
      <w:pPr>
        <w:pStyle w:val="Heading1"/>
      </w:pPr>
      <w:r>
        <w:t>References</w:t>
      </w:r>
    </w:p>
    <w:p w14:paraId="47A58411" w14:textId="1E5C62CD" w:rsidR="00D95CC2" w:rsidRDefault="00D95CC2" w:rsidP="003B745B">
      <w:pPr>
        <w:pStyle w:val="BodyText"/>
        <w:numPr>
          <w:ilvl w:val="0"/>
          <w:numId w:val="22"/>
        </w:numPr>
        <w:ind w:left="426" w:hanging="426"/>
      </w:pPr>
      <w:bookmarkStart w:id="4" w:name="_Ref454882163"/>
      <w:bookmarkStart w:id="5" w:name="_Ref461806934"/>
      <w:bookmarkStart w:id="6" w:name="_Ref461961121"/>
      <w:bookmarkEnd w:id="4"/>
      <w:r w:rsidRPr="00446F9D">
        <w:t>R1-</w:t>
      </w:r>
      <w:r w:rsidR="00A93783" w:rsidRPr="00A93783">
        <w:rPr>
          <w:bCs/>
        </w:rPr>
        <w:t>1610213</w:t>
      </w:r>
      <w:r w:rsidR="00A93783" w:rsidRPr="00A93783">
        <w:t xml:space="preserve"> </w:t>
      </w:r>
      <w:r>
        <w:t>“On low latency UL mult</w:t>
      </w:r>
      <w:r w:rsidR="001E60CB">
        <w:t>iple a</w:t>
      </w:r>
      <w:r>
        <w:t>ccess in NR,” Ericsson</w:t>
      </w:r>
      <w:bookmarkEnd w:id="5"/>
      <w:bookmarkEnd w:id="6"/>
      <w:r w:rsidRPr="00446F9D">
        <w:t xml:space="preserve"> </w:t>
      </w:r>
    </w:p>
    <w:p w14:paraId="27E74723" w14:textId="5C296E13" w:rsidR="00392E4E" w:rsidRDefault="00392E4E" w:rsidP="003B745B">
      <w:pPr>
        <w:pStyle w:val="BodyText"/>
        <w:numPr>
          <w:ilvl w:val="0"/>
          <w:numId w:val="22"/>
        </w:numPr>
        <w:ind w:left="426" w:hanging="426"/>
      </w:pPr>
      <w:bookmarkStart w:id="7" w:name="_Ref461806921"/>
      <w:r w:rsidRPr="00446F9D">
        <w:t>R1-</w:t>
      </w:r>
      <w:r w:rsidRPr="000C3EB1">
        <w:t>167554</w:t>
      </w:r>
      <w:r>
        <w:t xml:space="preserve"> “</w:t>
      </w:r>
      <w:r w:rsidRPr="000C3EB1">
        <w:t xml:space="preserve">General framework for </w:t>
      </w:r>
      <w:r>
        <w:t>efficient</w:t>
      </w:r>
      <w:r w:rsidRPr="000C3EB1">
        <w:t xml:space="preserve"> access in NR</w:t>
      </w:r>
      <w:r>
        <w:t>,” Ericsson</w:t>
      </w:r>
      <w:bookmarkEnd w:id="7"/>
    </w:p>
    <w:p w14:paraId="09D4D75A" w14:textId="2E7800DF" w:rsidR="00C16595" w:rsidRDefault="003B745B" w:rsidP="00392E4E">
      <w:pPr>
        <w:pStyle w:val="BodyText"/>
        <w:numPr>
          <w:ilvl w:val="0"/>
          <w:numId w:val="22"/>
        </w:numPr>
        <w:ind w:left="426" w:hanging="426"/>
      </w:pPr>
      <w:bookmarkStart w:id="8" w:name="_Ref461962637"/>
      <w:r w:rsidRPr="00446F9D">
        <w:t>R1-</w:t>
      </w:r>
      <w:r>
        <w:t>167555 “</w:t>
      </w:r>
      <w:r w:rsidRPr="006D65D5">
        <w:t xml:space="preserve">NR </w:t>
      </w:r>
      <w:r w:rsidR="001E60CB">
        <w:t>m</w:t>
      </w:r>
      <w:r w:rsidRPr="006D65D5">
        <w:t xml:space="preserve">ultiple </w:t>
      </w:r>
      <w:r w:rsidR="001E60CB">
        <w:t>a</w:t>
      </w:r>
      <w:r w:rsidRPr="006D65D5">
        <w:t>ccess</w:t>
      </w:r>
      <w:r>
        <w:t>,” Ericsson</w:t>
      </w:r>
      <w:bookmarkEnd w:id="8"/>
    </w:p>
    <w:sectPr w:rsidR="00C1659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47F0F" w14:textId="77777777" w:rsidR="00C729CB" w:rsidRDefault="00C729CB">
      <w:r>
        <w:separator/>
      </w:r>
    </w:p>
  </w:endnote>
  <w:endnote w:type="continuationSeparator" w:id="0">
    <w:p w14:paraId="70B7180B" w14:textId="77777777" w:rsidR="00C729CB" w:rsidRDefault="00C7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A63A9" w14:textId="77777777" w:rsidR="00C729CB" w:rsidRDefault="00C729CB">
      <w:r>
        <w:separator/>
      </w:r>
    </w:p>
  </w:footnote>
  <w:footnote w:type="continuationSeparator" w:id="0">
    <w:p w14:paraId="19E98756" w14:textId="77777777" w:rsidR="00C729CB" w:rsidRDefault="00C72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42BC" w14:textId="77777777" w:rsidR="001C434E" w:rsidRDefault="001C434E" w:rsidP="00417FD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054"/>
    <w:multiLevelType w:val="hybridMultilevel"/>
    <w:tmpl w:val="70CCC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1E46"/>
    <w:multiLevelType w:val="hybridMultilevel"/>
    <w:tmpl w:val="5948A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D4D14"/>
    <w:multiLevelType w:val="hybridMultilevel"/>
    <w:tmpl w:val="6FCA3578"/>
    <w:lvl w:ilvl="0" w:tplc="954ACE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406A9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44A6B2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79EDD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4C8A9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CF6877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A048D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1DC38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B9671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15480CF8"/>
    <w:multiLevelType w:val="hybridMultilevel"/>
    <w:tmpl w:val="8046783C"/>
    <w:lvl w:ilvl="0" w:tplc="F3D26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0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EB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A2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CA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8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48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6A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4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31765"/>
    <w:multiLevelType w:val="hybridMultilevel"/>
    <w:tmpl w:val="4E5EB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A1B16"/>
    <w:multiLevelType w:val="hybridMultilevel"/>
    <w:tmpl w:val="AB8493E6"/>
    <w:lvl w:ilvl="0" w:tplc="67C44F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B81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80E16">
      <w:start w:val="25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0EF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0F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4B5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015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6BE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74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C1091"/>
    <w:multiLevelType w:val="hybridMultilevel"/>
    <w:tmpl w:val="898652FC"/>
    <w:lvl w:ilvl="0" w:tplc="159A08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80C36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286D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7EA8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7E6C4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E84CA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AEEEF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AE28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7DEFB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1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87648"/>
    <w:multiLevelType w:val="hybridMultilevel"/>
    <w:tmpl w:val="D28C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8"/>
  </w:num>
  <w:num w:numId="2">
    <w:abstractNumId w:val="11"/>
  </w:num>
  <w:num w:numId="3">
    <w:abstractNumId w:val="6"/>
  </w:num>
  <w:num w:numId="4">
    <w:abstractNumId w:val="16"/>
  </w:num>
  <w:num w:numId="5">
    <w:abstractNumId w:val="25"/>
  </w:num>
  <w:num w:numId="6">
    <w:abstractNumId w:val="7"/>
  </w:num>
  <w:num w:numId="7">
    <w:abstractNumId w:val="15"/>
  </w:num>
  <w:num w:numId="8">
    <w:abstractNumId w:val="19"/>
  </w:num>
  <w:num w:numId="9">
    <w:abstractNumId w:val="9"/>
  </w:num>
  <w:num w:numId="10">
    <w:abstractNumId w:val="8"/>
  </w:num>
  <w:num w:numId="11">
    <w:abstractNumId w:val="21"/>
  </w:num>
  <w:num w:numId="12">
    <w:abstractNumId w:val="1"/>
  </w:num>
  <w:num w:numId="13">
    <w:abstractNumId w:val="24"/>
  </w:num>
  <w:num w:numId="14">
    <w:abstractNumId w:val="2"/>
  </w:num>
  <w:num w:numId="15">
    <w:abstractNumId w:val="0"/>
  </w:num>
  <w:num w:numId="16">
    <w:abstractNumId w:val="23"/>
  </w:num>
  <w:num w:numId="17">
    <w:abstractNumId w:val="5"/>
  </w:num>
  <w:num w:numId="18">
    <w:abstractNumId w:val="13"/>
  </w:num>
  <w:num w:numId="19">
    <w:abstractNumId w:val="27"/>
  </w:num>
  <w:num w:numId="20">
    <w:abstractNumId w:val="26"/>
  </w:num>
  <w:num w:numId="21">
    <w:abstractNumId w:val="18"/>
  </w:num>
  <w:num w:numId="22">
    <w:abstractNumId w:val="22"/>
  </w:num>
  <w:num w:numId="23">
    <w:abstractNumId w:val="10"/>
  </w:num>
  <w:num w:numId="24">
    <w:abstractNumId w:val="14"/>
  </w:num>
  <w:num w:numId="25">
    <w:abstractNumId w:val="12"/>
  </w:num>
  <w:num w:numId="26">
    <w:abstractNumId w:val="4"/>
  </w:num>
  <w:num w:numId="27">
    <w:abstractNumId w:val="17"/>
  </w:num>
  <w:num w:numId="28">
    <w:abstractNumId w:val="2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65F"/>
    <w:rsid w:val="00024F06"/>
    <w:rsid w:val="00030FA3"/>
    <w:rsid w:val="00031BA9"/>
    <w:rsid w:val="00034C4F"/>
    <w:rsid w:val="00034FE6"/>
    <w:rsid w:val="000352BA"/>
    <w:rsid w:val="00041C26"/>
    <w:rsid w:val="00043EF1"/>
    <w:rsid w:val="000606B1"/>
    <w:rsid w:val="0006481F"/>
    <w:rsid w:val="000A258F"/>
    <w:rsid w:val="000B481E"/>
    <w:rsid w:val="000C6BC2"/>
    <w:rsid w:val="000C6C33"/>
    <w:rsid w:val="000D057B"/>
    <w:rsid w:val="000D4C23"/>
    <w:rsid w:val="000D570D"/>
    <w:rsid w:val="000E79A9"/>
    <w:rsid w:val="001013BB"/>
    <w:rsid w:val="00106A42"/>
    <w:rsid w:val="00112E18"/>
    <w:rsid w:val="00116BAA"/>
    <w:rsid w:val="001228EB"/>
    <w:rsid w:val="001340DE"/>
    <w:rsid w:val="00141448"/>
    <w:rsid w:val="00165AA0"/>
    <w:rsid w:val="00190F96"/>
    <w:rsid w:val="00194879"/>
    <w:rsid w:val="00195040"/>
    <w:rsid w:val="00196A44"/>
    <w:rsid w:val="00196EF8"/>
    <w:rsid w:val="001A0AE0"/>
    <w:rsid w:val="001B22C9"/>
    <w:rsid w:val="001C434E"/>
    <w:rsid w:val="001D06CA"/>
    <w:rsid w:val="001D60A0"/>
    <w:rsid w:val="001D60B2"/>
    <w:rsid w:val="001E60CB"/>
    <w:rsid w:val="0021013F"/>
    <w:rsid w:val="002135C3"/>
    <w:rsid w:val="00223994"/>
    <w:rsid w:val="002264C5"/>
    <w:rsid w:val="002269FA"/>
    <w:rsid w:val="00232933"/>
    <w:rsid w:val="002330C7"/>
    <w:rsid w:val="0024689D"/>
    <w:rsid w:val="00246FA2"/>
    <w:rsid w:val="00270EBA"/>
    <w:rsid w:val="00275E13"/>
    <w:rsid w:val="00290099"/>
    <w:rsid w:val="002943C1"/>
    <w:rsid w:val="002A4F8C"/>
    <w:rsid w:val="002B3AD7"/>
    <w:rsid w:val="002D538D"/>
    <w:rsid w:val="002E4823"/>
    <w:rsid w:val="002F30B7"/>
    <w:rsid w:val="002F33BA"/>
    <w:rsid w:val="002F3652"/>
    <w:rsid w:val="00303311"/>
    <w:rsid w:val="00337822"/>
    <w:rsid w:val="00360D4F"/>
    <w:rsid w:val="00374751"/>
    <w:rsid w:val="0038183D"/>
    <w:rsid w:val="003875A3"/>
    <w:rsid w:val="00391796"/>
    <w:rsid w:val="00391F8A"/>
    <w:rsid w:val="00392E4E"/>
    <w:rsid w:val="003954F4"/>
    <w:rsid w:val="003B6CED"/>
    <w:rsid w:val="003B745B"/>
    <w:rsid w:val="003D339F"/>
    <w:rsid w:val="003F28C7"/>
    <w:rsid w:val="003F3C49"/>
    <w:rsid w:val="003F3D4F"/>
    <w:rsid w:val="00415A6F"/>
    <w:rsid w:val="00417FDA"/>
    <w:rsid w:val="00423EC1"/>
    <w:rsid w:val="00425B64"/>
    <w:rsid w:val="004356A4"/>
    <w:rsid w:val="00453575"/>
    <w:rsid w:val="00463F1C"/>
    <w:rsid w:val="00487518"/>
    <w:rsid w:val="004A286C"/>
    <w:rsid w:val="004A3DA3"/>
    <w:rsid w:val="004E4935"/>
    <w:rsid w:val="004E7CC7"/>
    <w:rsid w:val="005170C3"/>
    <w:rsid w:val="00525E8D"/>
    <w:rsid w:val="005406BC"/>
    <w:rsid w:val="00560980"/>
    <w:rsid w:val="00564185"/>
    <w:rsid w:val="00564E67"/>
    <w:rsid w:val="005702BF"/>
    <w:rsid w:val="00582543"/>
    <w:rsid w:val="005A453E"/>
    <w:rsid w:val="005A6712"/>
    <w:rsid w:val="005A6C71"/>
    <w:rsid w:val="005A748D"/>
    <w:rsid w:val="005B197C"/>
    <w:rsid w:val="005B6F24"/>
    <w:rsid w:val="005C2C75"/>
    <w:rsid w:val="005C76A3"/>
    <w:rsid w:val="005E0095"/>
    <w:rsid w:val="005F2DDD"/>
    <w:rsid w:val="005F584A"/>
    <w:rsid w:val="00601DE6"/>
    <w:rsid w:val="00611C14"/>
    <w:rsid w:val="00613A74"/>
    <w:rsid w:val="00621DB8"/>
    <w:rsid w:val="00627043"/>
    <w:rsid w:val="00627BB6"/>
    <w:rsid w:val="006352C9"/>
    <w:rsid w:val="00656E8E"/>
    <w:rsid w:val="00665A8F"/>
    <w:rsid w:val="00670579"/>
    <w:rsid w:val="00693213"/>
    <w:rsid w:val="00694388"/>
    <w:rsid w:val="006A286A"/>
    <w:rsid w:val="006A589B"/>
    <w:rsid w:val="006D0081"/>
    <w:rsid w:val="006E1183"/>
    <w:rsid w:val="006F31F9"/>
    <w:rsid w:val="006F4BEB"/>
    <w:rsid w:val="0071194A"/>
    <w:rsid w:val="007246BD"/>
    <w:rsid w:val="00733A29"/>
    <w:rsid w:val="00736B4D"/>
    <w:rsid w:val="00736ED8"/>
    <w:rsid w:val="007526F0"/>
    <w:rsid w:val="00771C7C"/>
    <w:rsid w:val="0077438E"/>
    <w:rsid w:val="007808F5"/>
    <w:rsid w:val="00780F63"/>
    <w:rsid w:val="00787A0F"/>
    <w:rsid w:val="007910F5"/>
    <w:rsid w:val="00794201"/>
    <w:rsid w:val="00797273"/>
    <w:rsid w:val="007B5660"/>
    <w:rsid w:val="007E0F92"/>
    <w:rsid w:val="007F6F9F"/>
    <w:rsid w:val="00802768"/>
    <w:rsid w:val="008232E6"/>
    <w:rsid w:val="00825439"/>
    <w:rsid w:val="008344FC"/>
    <w:rsid w:val="00834DE7"/>
    <w:rsid w:val="008449DB"/>
    <w:rsid w:val="00845E19"/>
    <w:rsid w:val="00855D8C"/>
    <w:rsid w:val="00861D77"/>
    <w:rsid w:val="00865AF6"/>
    <w:rsid w:val="00867424"/>
    <w:rsid w:val="008920FE"/>
    <w:rsid w:val="008A7666"/>
    <w:rsid w:val="008D108C"/>
    <w:rsid w:val="008F6929"/>
    <w:rsid w:val="00935D22"/>
    <w:rsid w:val="00950399"/>
    <w:rsid w:val="009723AF"/>
    <w:rsid w:val="00995034"/>
    <w:rsid w:val="009A1A23"/>
    <w:rsid w:val="009A6BB8"/>
    <w:rsid w:val="009B2E48"/>
    <w:rsid w:val="009B50F3"/>
    <w:rsid w:val="009D171E"/>
    <w:rsid w:val="009D2223"/>
    <w:rsid w:val="009D5027"/>
    <w:rsid w:val="009E0F67"/>
    <w:rsid w:val="009E53D9"/>
    <w:rsid w:val="009F455E"/>
    <w:rsid w:val="00A24A8B"/>
    <w:rsid w:val="00A31379"/>
    <w:rsid w:val="00A31B32"/>
    <w:rsid w:val="00A42815"/>
    <w:rsid w:val="00A46047"/>
    <w:rsid w:val="00A64B69"/>
    <w:rsid w:val="00A72E83"/>
    <w:rsid w:val="00A80E09"/>
    <w:rsid w:val="00A81AA1"/>
    <w:rsid w:val="00A87D67"/>
    <w:rsid w:val="00A93783"/>
    <w:rsid w:val="00A96356"/>
    <w:rsid w:val="00AA07D6"/>
    <w:rsid w:val="00AA13EF"/>
    <w:rsid w:val="00AA26CE"/>
    <w:rsid w:val="00AA58FF"/>
    <w:rsid w:val="00AB1193"/>
    <w:rsid w:val="00AC469F"/>
    <w:rsid w:val="00AD1A03"/>
    <w:rsid w:val="00AD363B"/>
    <w:rsid w:val="00AD5266"/>
    <w:rsid w:val="00AF6E65"/>
    <w:rsid w:val="00B00C7E"/>
    <w:rsid w:val="00B03A33"/>
    <w:rsid w:val="00B04AA5"/>
    <w:rsid w:val="00B07AC8"/>
    <w:rsid w:val="00B169DA"/>
    <w:rsid w:val="00B368D9"/>
    <w:rsid w:val="00B70C0B"/>
    <w:rsid w:val="00B73B25"/>
    <w:rsid w:val="00B9206E"/>
    <w:rsid w:val="00B94633"/>
    <w:rsid w:val="00B95339"/>
    <w:rsid w:val="00B96CC0"/>
    <w:rsid w:val="00BA2CDD"/>
    <w:rsid w:val="00BB1E20"/>
    <w:rsid w:val="00BC0FA5"/>
    <w:rsid w:val="00BD0CC2"/>
    <w:rsid w:val="00BD11AF"/>
    <w:rsid w:val="00BD7E48"/>
    <w:rsid w:val="00BE3734"/>
    <w:rsid w:val="00BF636D"/>
    <w:rsid w:val="00C10B9B"/>
    <w:rsid w:val="00C15355"/>
    <w:rsid w:val="00C1560A"/>
    <w:rsid w:val="00C16595"/>
    <w:rsid w:val="00C202E0"/>
    <w:rsid w:val="00C52381"/>
    <w:rsid w:val="00C61496"/>
    <w:rsid w:val="00C62082"/>
    <w:rsid w:val="00C62AEF"/>
    <w:rsid w:val="00C70E67"/>
    <w:rsid w:val="00C729CB"/>
    <w:rsid w:val="00C74060"/>
    <w:rsid w:val="00C80C85"/>
    <w:rsid w:val="00C80D8A"/>
    <w:rsid w:val="00C87EB6"/>
    <w:rsid w:val="00C93774"/>
    <w:rsid w:val="00CA1F73"/>
    <w:rsid w:val="00CB6912"/>
    <w:rsid w:val="00CC1703"/>
    <w:rsid w:val="00CC3F74"/>
    <w:rsid w:val="00CD0DD6"/>
    <w:rsid w:val="00CD7E4F"/>
    <w:rsid w:val="00CE28B2"/>
    <w:rsid w:val="00CF649D"/>
    <w:rsid w:val="00CF67BE"/>
    <w:rsid w:val="00D03057"/>
    <w:rsid w:val="00D03119"/>
    <w:rsid w:val="00D23A0E"/>
    <w:rsid w:val="00D64311"/>
    <w:rsid w:val="00D661C8"/>
    <w:rsid w:val="00D67D13"/>
    <w:rsid w:val="00D7691A"/>
    <w:rsid w:val="00D87A9B"/>
    <w:rsid w:val="00D95846"/>
    <w:rsid w:val="00D95AFD"/>
    <w:rsid w:val="00D95CC2"/>
    <w:rsid w:val="00D9739A"/>
    <w:rsid w:val="00DA0DE4"/>
    <w:rsid w:val="00DA110D"/>
    <w:rsid w:val="00DA41BC"/>
    <w:rsid w:val="00DC2418"/>
    <w:rsid w:val="00DC69CA"/>
    <w:rsid w:val="00DD0E74"/>
    <w:rsid w:val="00DF71F1"/>
    <w:rsid w:val="00E019F3"/>
    <w:rsid w:val="00E0386E"/>
    <w:rsid w:val="00E1690E"/>
    <w:rsid w:val="00E26EA8"/>
    <w:rsid w:val="00E30B9C"/>
    <w:rsid w:val="00E318B1"/>
    <w:rsid w:val="00E36084"/>
    <w:rsid w:val="00E41B39"/>
    <w:rsid w:val="00E428C8"/>
    <w:rsid w:val="00E63D88"/>
    <w:rsid w:val="00E71905"/>
    <w:rsid w:val="00E7495D"/>
    <w:rsid w:val="00E77B00"/>
    <w:rsid w:val="00E956F8"/>
    <w:rsid w:val="00EA7203"/>
    <w:rsid w:val="00EB6C9C"/>
    <w:rsid w:val="00EC319A"/>
    <w:rsid w:val="00ED62CE"/>
    <w:rsid w:val="00EE4106"/>
    <w:rsid w:val="00EF0632"/>
    <w:rsid w:val="00F06B45"/>
    <w:rsid w:val="00F21F95"/>
    <w:rsid w:val="00F22476"/>
    <w:rsid w:val="00F403B5"/>
    <w:rsid w:val="00F73F55"/>
    <w:rsid w:val="00F92A9C"/>
    <w:rsid w:val="00FA2804"/>
    <w:rsid w:val="00FB67A5"/>
    <w:rsid w:val="00FC0E6B"/>
    <w:rsid w:val="00FD1681"/>
    <w:rsid w:val="00FD43FF"/>
    <w:rsid w:val="00FE5799"/>
    <w:rsid w:val="00FF6702"/>
    <w:rsid w:val="00FF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2427D"/>
  <w15:docId w15:val="{5D3F0FDB-A656-4919-B456-6F7A294A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7406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C74060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C74060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C74060"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0565F"/>
    <w:pPr>
      <w:spacing w:before="100" w:beforeAutospacing="1" w:after="100" w:afterAutospacing="1"/>
    </w:pPr>
    <w:rPr>
      <w:rFonts w:eastAsiaTheme="minorHAnsi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8344FC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3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281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74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7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715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12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SAQRZK7RPU5V-1-2491</_dlc_DocId>
    <_dlc_DocIdUrl xmlns="08b2df90-05d3-4030-90d4-c9feeb4a1cd9">
      <Url>https://ericoll.internal.ericsson.com/sites/NSA/_layouts/DocIdRedir.aspx?ID=SAQRZK7RPU5V-1-2491</Url>
      <Description>SAQRZK7RPU5V-1-2491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A8E2-3CC6-4CE3-A39E-5EB8FBC9A0F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4C1AE6-DEF5-49DA-AC02-CC52307D5C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B8D0C3-9599-420B-904A-A497BC2393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DA7A6-9CAA-4419-8C2F-60B8B6629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504818-60B0-4E3D-8B9D-DB6D55442EE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FDF72CC-CCBB-41C2-8C4D-8B77858D8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2</Pages>
  <Words>836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keywords/>
  <cp:lastModifiedBy>Efthymios Stathakis</cp:lastModifiedBy>
  <cp:revision>22</cp:revision>
  <cp:lastPrinted>2016-05-04T08:07:00Z</cp:lastPrinted>
  <dcterms:created xsi:type="dcterms:W3CDTF">2016-09-13T07:13:00Z</dcterms:created>
  <dcterms:modified xsi:type="dcterms:W3CDTF">2016-09-30T07:58:00Z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07c082ea-dfb8-4d6e-b81b-f9b80c53c4be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